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43FFFA7D" w:rsidR="00E52AEF" w:rsidRPr="00E52AEF" w:rsidRDefault="009840AB" w:rsidP="00D80380">
      <w:pPr>
        <w:jc w:val="center"/>
      </w:pPr>
      <w:r w:rsidRPr="009840AB">
        <w:rPr>
          <w:sz w:val="32"/>
          <w:szCs w:val="32"/>
        </w:rPr>
        <w:t>Exercício de Humanismo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9B698C">
        <w:rPr>
          <w:sz w:val="32"/>
          <w:szCs w:val="32"/>
        </w:rPr>
        <w:t>Literatura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5E8420A9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1) (UNAMA/PA) “Humanismo é uma palavra inventada no século XIX para descrever o programa de estudos, e seu condicionamento de pensamento e expressão, que era conhecido desde o final do século XV”. HALE, John. Dicionário do renascimento italiano. Rio de Janeiro: Jorge Zahar Editor, 1988. p. 187. De acordo com o trecho anterior, e por meio de seus estudos históricos, é correto afirmar que o programa humanista:</w:t>
      </w:r>
    </w:p>
    <w:p w14:paraId="0DE5DBB3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</w:p>
    <w:p w14:paraId="462A0F82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a) Era encabeçado por reis e papas (os mecenas), os quais auxiliavam, humanitariamente, os artistas do século XIX a compreender as formas artísticas do Renascimento.</w:t>
      </w:r>
    </w:p>
    <w:p w14:paraId="56A1D1E1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b) Atrelava-se ao modo de pensar renascentista, no qual o homem e a natureza passavam a ser valorizados na construção do conhecimento mundano.</w:t>
      </w:r>
    </w:p>
    <w:p w14:paraId="18FD94E9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c) Era marcado por uma valorização de temas naturalistas, opondo-se aos temas religiosos e sua ligação e proximidade com a Igreja católica e a protestante do século XIX.</w:t>
      </w:r>
    </w:p>
    <w:p w14:paraId="53465EE6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d) Constituía-se por uma aproximação com o mundo grego e romano, valorizando o equilíbrio das formas e proporções, num exemplo de arte barroca (humanista) do século XV.</w:t>
      </w:r>
    </w:p>
    <w:p w14:paraId="20EFC4CB" w14:textId="77777777" w:rsidR="009840AB" w:rsidRDefault="009840AB" w:rsidP="009840AB">
      <w:pPr>
        <w:rPr>
          <w:rFonts w:ascii="Lato" w:hAnsi="Lato"/>
          <w:color w:val="000000"/>
          <w:shd w:val="clear" w:color="auto" w:fill="FFFFFF"/>
        </w:rPr>
      </w:pPr>
    </w:p>
    <w:p w14:paraId="4DB3767E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2) É característica fundamental do Humanismo a valorização do corpo humano. Isso pode ser observado, no contexto dos séculos XV e XVI, nas:</w:t>
      </w:r>
    </w:p>
    <w:p w14:paraId="78D5B0E9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</w:p>
    <w:p w14:paraId="38F0E57D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a) estruturas das catedrais góticas.</w:t>
      </w:r>
    </w:p>
    <w:p w14:paraId="0CA0B638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b) obras dos artesãos das corporações de ofício.</w:t>
      </w:r>
    </w:p>
    <w:p w14:paraId="0C7B329A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c) seitas sincréticas, como a maçonaria.</w:t>
      </w:r>
    </w:p>
    <w:p w14:paraId="6D50F085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d) obras dos pintores e escultores renascentistas.</w:t>
      </w:r>
    </w:p>
    <w:p w14:paraId="57B39F36" w14:textId="77777777" w:rsidR="009840AB" w:rsidRDefault="009840AB" w:rsidP="009840AB">
      <w:pPr>
        <w:rPr>
          <w:rFonts w:ascii="Lato" w:hAnsi="Lato"/>
          <w:color w:val="000000"/>
          <w:shd w:val="clear" w:color="auto" w:fill="FFFFFF"/>
        </w:rPr>
      </w:pPr>
    </w:p>
    <w:p w14:paraId="55280F75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3) Além dos temas cristãos, herdados da Idade Média, o humanismo incorporou decisivamente outros elementos, que foram:</w:t>
      </w:r>
    </w:p>
    <w:p w14:paraId="7CE5E021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</w:p>
    <w:p w14:paraId="19D45005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a) os elementos da cultura persa.</w:t>
      </w:r>
    </w:p>
    <w:p w14:paraId="010E9761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b) os elementos da cultura clássica, grega e romana.</w:t>
      </w:r>
    </w:p>
    <w:p w14:paraId="27D20343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 xml:space="preserve">c) os fundamentos teológicos dos heréticos, como os de </w:t>
      </w:r>
      <w:proofErr w:type="spellStart"/>
      <w:r w:rsidRPr="009840AB">
        <w:rPr>
          <w:rFonts w:ascii="Lato" w:hAnsi="Lato"/>
          <w:color w:val="000000"/>
          <w:shd w:val="clear" w:color="auto" w:fill="FFFFFF"/>
        </w:rPr>
        <w:t>Marcião</w:t>
      </w:r>
      <w:proofErr w:type="spellEnd"/>
      <w:r w:rsidRPr="009840AB">
        <w:rPr>
          <w:rFonts w:ascii="Lato" w:hAnsi="Lato"/>
          <w:color w:val="000000"/>
          <w:shd w:val="clear" w:color="auto" w:fill="FFFFFF"/>
        </w:rPr>
        <w:t>.</w:t>
      </w:r>
    </w:p>
    <w:p w14:paraId="3ED3DC76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d) as estruturas do pensamento de Confúcio.</w:t>
      </w:r>
    </w:p>
    <w:p w14:paraId="4B996B3B" w14:textId="77777777" w:rsidR="009840AB" w:rsidRDefault="009840AB" w:rsidP="009840AB">
      <w:pPr>
        <w:rPr>
          <w:rFonts w:ascii="Lato" w:hAnsi="Lato"/>
          <w:color w:val="000000"/>
          <w:shd w:val="clear" w:color="auto" w:fill="FFFFFF"/>
        </w:rPr>
      </w:pPr>
    </w:p>
    <w:p w14:paraId="60BD65E8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4) Sobre o Humanismo, identifique a alternativa falsa:</w:t>
      </w:r>
    </w:p>
    <w:p w14:paraId="5CFB5EEE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</w:p>
    <w:p w14:paraId="3275AEA6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a) Em sentido amplo, designa a atitude de valorização do homem, de seus atributos e realizações.</w:t>
      </w:r>
    </w:p>
    <w:p w14:paraId="67B9D624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b) Configura-se na máxima de Protágoras: “O homem é a medida de todas as coisas”.</w:t>
      </w:r>
    </w:p>
    <w:p w14:paraId="5F5919FD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c) Rejeita a noção de que o homem não pode governar seu próprio destino.</w:t>
      </w:r>
    </w:p>
    <w:p w14:paraId="7846E2DD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d) Fundamenta-se na noção bíblica de que o homem é pó e ao pó retornará, e de que só a transcendência liberta o homem de sua insignificância terrena.</w:t>
      </w:r>
    </w:p>
    <w:p w14:paraId="00941294" w14:textId="77777777" w:rsidR="009840AB" w:rsidRDefault="009840AB" w:rsidP="009840AB">
      <w:pPr>
        <w:rPr>
          <w:rFonts w:ascii="Lato" w:hAnsi="Lato"/>
          <w:color w:val="000000"/>
          <w:shd w:val="clear" w:color="auto" w:fill="FFFFFF"/>
        </w:rPr>
      </w:pPr>
    </w:p>
    <w:p w14:paraId="527A1DF6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5) Assinale a alternativa incorreta a respeito do Humanismo:</w:t>
      </w:r>
    </w:p>
    <w:p w14:paraId="31DC52F1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</w:p>
    <w:p w14:paraId="6C66A298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a) Associa-se à noção de antropocentrismo e representou a base filosófica e cultural do Renascimento.</w:t>
      </w:r>
    </w:p>
    <w:p w14:paraId="38788027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>b) Teve como centro irradiador a Itália e como precursor Dante Alighieri, Boccaccio e Petrarca.</w:t>
      </w:r>
    </w:p>
    <w:p w14:paraId="01D93768" w14:textId="77777777" w:rsidR="009840AB" w:rsidRPr="009840AB" w:rsidRDefault="009840AB" w:rsidP="009840AB">
      <w:pPr>
        <w:rPr>
          <w:rFonts w:ascii="Lato" w:hAnsi="Lato"/>
          <w:color w:val="000000"/>
          <w:shd w:val="clear" w:color="auto" w:fill="FFFFFF"/>
        </w:rPr>
      </w:pPr>
      <w:r w:rsidRPr="009840AB">
        <w:rPr>
          <w:rFonts w:ascii="Lato" w:hAnsi="Lato"/>
          <w:color w:val="000000"/>
          <w:shd w:val="clear" w:color="auto" w:fill="FFFFFF"/>
        </w:rPr>
        <w:t xml:space="preserve">c) Denomina-se também </w:t>
      </w:r>
      <w:proofErr w:type="spellStart"/>
      <w:r w:rsidRPr="009840AB">
        <w:rPr>
          <w:rFonts w:ascii="Lato" w:hAnsi="Lato"/>
          <w:color w:val="000000"/>
          <w:shd w:val="clear" w:color="auto" w:fill="FFFFFF"/>
        </w:rPr>
        <w:t>Pré</w:t>
      </w:r>
      <w:proofErr w:type="spellEnd"/>
      <w:r w:rsidRPr="009840AB">
        <w:rPr>
          <w:rFonts w:ascii="Lato" w:hAnsi="Lato"/>
          <w:color w:val="000000"/>
          <w:shd w:val="clear" w:color="auto" w:fill="FFFFFF"/>
        </w:rPr>
        <w:t>-Renascentismo, ou Quatrocentismo, e corresponde ao século XV.</w:t>
      </w:r>
    </w:p>
    <w:p w14:paraId="4D79E8C4" w14:textId="052F3F17" w:rsidR="00015161" w:rsidRDefault="009840AB" w:rsidP="009840AB">
      <w:pPr>
        <w:rPr>
          <w:rFonts w:ascii="Times New Roman" w:eastAsia="Times New Roman" w:hAnsi="Times New Roman" w:cs="Times New Roman"/>
          <w:lang w:eastAsia="pt-BR"/>
        </w:rPr>
      </w:pPr>
      <w:r w:rsidRPr="009840AB">
        <w:rPr>
          <w:rFonts w:ascii="Lato" w:hAnsi="Lato"/>
          <w:color w:val="000000"/>
          <w:shd w:val="clear" w:color="auto" w:fill="FFFFFF"/>
        </w:rPr>
        <w:t>d) Representa o apogeu da cultura provençal que se irradia da França para os demais países, por meio dos trovadores e jograis.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079D8959" w:rsidR="00711E74" w:rsidRPr="00711E74" w:rsidRDefault="009840AB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</w:p>
        </w:tc>
        <w:tc>
          <w:tcPr>
            <w:tcW w:w="1464" w:type="dxa"/>
          </w:tcPr>
          <w:p w14:paraId="20DA21B1" w14:textId="41AACA2A" w:rsidR="006B714C" w:rsidRPr="00711E74" w:rsidRDefault="009840AB" w:rsidP="004137C7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D</w:t>
            </w:r>
          </w:p>
        </w:tc>
        <w:tc>
          <w:tcPr>
            <w:tcW w:w="1463" w:type="dxa"/>
          </w:tcPr>
          <w:p w14:paraId="2C919288" w14:textId="501A74E3" w:rsidR="007237E9" w:rsidRPr="00E76C52" w:rsidRDefault="009840AB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</w:p>
        </w:tc>
        <w:tc>
          <w:tcPr>
            <w:tcW w:w="1463" w:type="dxa"/>
          </w:tcPr>
          <w:p w14:paraId="67AF40E6" w14:textId="22031B2F" w:rsidR="007237E9" w:rsidRPr="00B0024C" w:rsidRDefault="009840AB" w:rsidP="004137C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1463" w:type="dxa"/>
          </w:tcPr>
          <w:p w14:paraId="49599B0F" w14:textId="6C369112" w:rsidR="006B714C" w:rsidRPr="008C38C0" w:rsidRDefault="009840AB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9840AB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2"/>
  </w:num>
  <w:num w:numId="5">
    <w:abstractNumId w:val="17"/>
  </w:num>
  <w:num w:numId="6">
    <w:abstractNumId w:val="24"/>
  </w:num>
  <w:num w:numId="7">
    <w:abstractNumId w:val="21"/>
  </w:num>
  <w:num w:numId="8">
    <w:abstractNumId w:val="15"/>
  </w:num>
  <w:num w:numId="9">
    <w:abstractNumId w:val="9"/>
  </w:num>
  <w:num w:numId="10">
    <w:abstractNumId w:val="19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22"/>
  </w:num>
  <w:num w:numId="16">
    <w:abstractNumId w:val="20"/>
  </w:num>
  <w:num w:numId="17">
    <w:abstractNumId w:val="1"/>
  </w:num>
  <w:num w:numId="18">
    <w:abstractNumId w:val="23"/>
  </w:num>
  <w:num w:numId="19">
    <w:abstractNumId w:val="10"/>
  </w:num>
  <w:num w:numId="20">
    <w:abstractNumId w:val="8"/>
  </w:num>
  <w:num w:numId="21">
    <w:abstractNumId w:val="0"/>
  </w:num>
  <w:num w:numId="22">
    <w:abstractNumId w:val="14"/>
  </w:num>
  <w:num w:numId="23">
    <w:abstractNumId w:val="6"/>
  </w:num>
  <w:num w:numId="24">
    <w:abstractNumId w:val="16"/>
  </w:num>
  <w:num w:numId="25">
    <w:abstractNumId w:val="18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096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137C7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711E7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31A19"/>
    <w:rsid w:val="0094351B"/>
    <w:rsid w:val="009449BB"/>
    <w:rsid w:val="00951D66"/>
    <w:rsid w:val="00956406"/>
    <w:rsid w:val="00963840"/>
    <w:rsid w:val="00983981"/>
    <w:rsid w:val="009840AB"/>
    <w:rsid w:val="00985C31"/>
    <w:rsid w:val="009A13F3"/>
    <w:rsid w:val="009A1DB5"/>
    <w:rsid w:val="009A611E"/>
    <w:rsid w:val="009B698C"/>
    <w:rsid w:val="009C44DB"/>
    <w:rsid w:val="009E02AA"/>
    <w:rsid w:val="009E1093"/>
    <w:rsid w:val="009E13A7"/>
    <w:rsid w:val="009E3EAC"/>
    <w:rsid w:val="009E5E35"/>
    <w:rsid w:val="00A02A69"/>
    <w:rsid w:val="00A12BEF"/>
    <w:rsid w:val="00A14CB5"/>
    <w:rsid w:val="00A353CA"/>
    <w:rsid w:val="00A46E2A"/>
    <w:rsid w:val="00A52A03"/>
    <w:rsid w:val="00A53FD7"/>
    <w:rsid w:val="00A55AD0"/>
    <w:rsid w:val="00A6341D"/>
    <w:rsid w:val="00A7182F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85A53"/>
    <w:rsid w:val="00D92E30"/>
    <w:rsid w:val="00D972DC"/>
    <w:rsid w:val="00DB516A"/>
    <w:rsid w:val="00DC0E94"/>
    <w:rsid w:val="00DC2806"/>
    <w:rsid w:val="00DD7414"/>
    <w:rsid w:val="00DE2BC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2050"/>
    <w:rsid w:val="00E76636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398"/>
    <w:rsid w:val="00F06518"/>
    <w:rsid w:val="00F17CA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6FB5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2020-04-07T15:48:00Z</cp:lastPrinted>
  <dcterms:created xsi:type="dcterms:W3CDTF">2020-04-07T15:48:00Z</dcterms:created>
  <dcterms:modified xsi:type="dcterms:W3CDTF">2020-04-07T15:48:00Z</dcterms:modified>
</cp:coreProperties>
</file>