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D84F2D1" w:rsidR="00E52AEF" w:rsidRDefault="00AB17CA" w:rsidP="00D80380">
      <w:pPr>
        <w:jc w:val="center"/>
        <w:rPr>
          <w:sz w:val="32"/>
          <w:szCs w:val="32"/>
        </w:rPr>
      </w:pPr>
      <w:r w:rsidRPr="00AB17CA">
        <w:rPr>
          <w:sz w:val="32"/>
          <w:szCs w:val="32"/>
        </w:rPr>
        <w:t xml:space="preserve">Exercício de Teorema de </w:t>
      </w:r>
      <w:proofErr w:type="spellStart"/>
      <w:r w:rsidRPr="00AB17CA">
        <w:rPr>
          <w:sz w:val="32"/>
          <w:szCs w:val="32"/>
        </w:rPr>
        <w:t>Stevin</w:t>
      </w:r>
      <w:proofErr w:type="spellEnd"/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363A2D">
        <w:rPr>
          <w:sz w:val="32"/>
          <w:szCs w:val="32"/>
        </w:rPr>
        <w:t>Física</w:t>
      </w:r>
      <w:r w:rsidR="00310140">
        <w:rPr>
          <w:sz w:val="32"/>
          <w:szCs w:val="32"/>
        </w:rPr>
        <w:t xml:space="preserve"> </w:t>
      </w:r>
      <w:r w:rsidR="00650AC9"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p w14:paraId="0C6D2016" w14:textId="77777777" w:rsidR="00AA3266" w:rsidRDefault="00AA3266" w:rsidP="00AA3266"/>
    <w:p w14:paraId="4EC5E9EB" w14:textId="77777777" w:rsidR="00AB17CA" w:rsidRPr="00AB17CA" w:rsidRDefault="00AB17CA" w:rsidP="00AB17CA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t>1) (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Uncisal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>) Em um laboratório, as substâncias são identificadas no rótulo pelo nome e por algumas propriedades químicas. No intuito de descobrir qual a substância armazenada num frasco no qual o rótulo foi retirado, um estudante aplicado de física propôs um experimento. Foram colocados num sistema constituído por vasos comunicantes o líquido desconhecido e álcool. Como são líquidos imiscíveis, é possível estimar a densidade do líquido medindo a altura das colunas líquidas a partir da superfície de separação desses líquidos. Esses valores são mostrados na figura a seguir. Consultando a tabela com os valores das densidades de alguns líquidos, disponível nesse laboratório, é provável que o líquido desconhecido seja:</w:t>
      </w:r>
    </w:p>
    <w:p w14:paraId="19ABBBD5" w14:textId="5C1625A8" w:rsidR="00AB17CA" w:rsidRPr="00AB17CA" w:rsidRDefault="00AB17CA" w:rsidP="00AB17CA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noProof/>
          <w:color w:val="000000"/>
          <w:lang w:eastAsia="pt-BR"/>
        </w:rPr>
        <w:drawing>
          <wp:inline distT="0" distB="0" distL="0" distR="0" wp14:anchorId="1BAC92F5" wp14:editId="11D4240A">
            <wp:extent cx="2435551" cy="1629547"/>
            <wp:effectExtent l="0" t="0" r="3175" b="8890"/>
            <wp:docPr id="32" name="Imagem 32" descr="https://azup.com.br/wp-content/uploads/densida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https://azup.com.br/wp-content/uploads/densidad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9" cy="163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7CA">
        <w:rPr>
          <w:rFonts w:ascii="Lato" w:eastAsia="Times New Roman" w:hAnsi="Lato" w:cs="Times New Roman"/>
          <w:noProof/>
          <w:color w:val="000000"/>
          <w:lang w:eastAsia="pt-BR"/>
        </w:rPr>
        <w:drawing>
          <wp:inline distT="0" distB="0" distL="0" distR="0" wp14:anchorId="468E9347" wp14:editId="3150E882">
            <wp:extent cx="2558580" cy="1717705"/>
            <wp:effectExtent l="0" t="0" r="0" b="0"/>
            <wp:docPr id="31" name="Imagem 31" descr="https://azup.com.br/wp-content/uploads/alcool-desconhec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https://azup.com.br/wp-content/uploads/alcool-desconheci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183" cy="172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19D96" w14:textId="3A2C6C97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66B4E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07" type="#_x0000_t75" style="width:20.2pt;height:17.5pt" o:ole="">
            <v:imagedata r:id="rId9" o:title=""/>
          </v:shape>
          <w:control r:id="rId10" w:name="DefaultOcxName" w:shapeid="_x0000_i1607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>a) a nitroglicerina.</w:t>
      </w:r>
    </w:p>
    <w:p w14:paraId="12178113" w14:textId="65B91FEC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44F049CF">
          <v:shape id="_x0000_i1606" type="#_x0000_t75" style="width:20.2pt;height:17.5pt" o:ole="">
            <v:imagedata r:id="rId9" o:title=""/>
          </v:shape>
          <w:control r:id="rId11" w:name="DefaultOcxName1" w:shapeid="_x0000_i1606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b) o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hexano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2ABF79DD" w14:textId="5AFBF488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514C59C6">
          <v:shape id="_x0000_i1605" type="#_x0000_t75" style="width:20.2pt;height:17.5pt" o:ole="">
            <v:imagedata r:id="rId9" o:title=""/>
          </v:shape>
          <w:control r:id="rId12" w:name="DefaultOcxName2" w:shapeid="_x0000_i1605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>c) o mercúrio.</w:t>
      </w:r>
    </w:p>
    <w:p w14:paraId="0EB2E376" w14:textId="6032230E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791CD705">
          <v:shape id="_x0000_i1604" type="#_x0000_t75" style="width:20.2pt;height:17.5pt" o:ole="">
            <v:imagedata r:id="rId9" o:title=""/>
          </v:shape>
          <w:control r:id="rId13" w:name="DefaultOcxName3" w:shapeid="_x0000_i1604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>d) a água.</w:t>
      </w:r>
    </w:p>
    <w:p w14:paraId="7FCCE6FA" w14:textId="51E27157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6271CFB4">
          <v:shape id="_x0000_i1603" type="#_x0000_t75" style="width:20.2pt;height:17.5pt" o:ole="">
            <v:imagedata r:id="rId9" o:title=""/>
          </v:shape>
          <w:control r:id="rId14" w:name="DefaultOcxName4" w:shapeid="_x0000_i1603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>e) o benzeno.</w:t>
      </w:r>
    </w:p>
    <w:p w14:paraId="72C5FF1A" w14:textId="77777777" w:rsidR="00AB17CA" w:rsidRPr="00AB17CA" w:rsidRDefault="00AB17CA" w:rsidP="00AB17CA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t>2) (Unifesp) O sistema de vasos comunicantes da figura contém água em repouso e simula uma situação que costuma ocorrer em cavernas: o tubo A representa a abertura para o meio ambiente exterior e os tubos B e C representam ambientes fechados, onde o ar está aprisionado.  </w:t>
      </w:r>
    </w:p>
    <w:p w14:paraId="30D87312" w14:textId="5AB86143" w:rsidR="00AB17CA" w:rsidRPr="00AB17CA" w:rsidRDefault="00AB17CA" w:rsidP="00AB17CA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noProof/>
          <w:color w:val="000000"/>
          <w:lang w:eastAsia="pt-BR"/>
        </w:rPr>
        <w:drawing>
          <wp:inline distT="0" distB="0" distL="0" distR="0" wp14:anchorId="433A1404" wp14:editId="08A5C662">
            <wp:extent cx="1845945" cy="1094105"/>
            <wp:effectExtent l="0" t="0" r="1905" b="0"/>
            <wp:docPr id="30" name="Imagem 30" descr="https://azup.com.br/wp-content/uploads/vaso-trip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https://azup.com.br/wp-content/uploads/vaso-tripl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33F4B" w14:textId="77777777" w:rsidR="00AB17CA" w:rsidRPr="00AB17CA" w:rsidRDefault="00AB17CA" w:rsidP="00AB17CA">
      <w:pPr>
        <w:shd w:val="clear" w:color="auto" w:fill="FFFFFF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 Sendo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p</w:t>
      </w:r>
      <w:r w:rsidRPr="00AB17CA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A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 a pressão atmosférica ambiente,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p</w:t>
      </w:r>
      <w:r w:rsidRPr="00AB17CA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B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 e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p</w:t>
      </w:r>
      <w:r w:rsidRPr="00AB17CA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C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> as pressões do ar confinado nos ambientes B e C, pode-se afirmar que é válida a relação:</w:t>
      </w:r>
    </w:p>
    <w:p w14:paraId="2F602492" w14:textId="2A27B62E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261EBF50">
          <v:shape id="_x0000_i1602" type="#_x0000_t75" style="width:20.2pt;height:17.5pt" o:ole="">
            <v:imagedata r:id="rId9" o:title=""/>
          </v:shape>
          <w:control r:id="rId16" w:name="DefaultOcxName5" w:shapeid="_x0000_i1602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a)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pA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 =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pB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 &gt;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pC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1667C67D" w14:textId="3A8A6D62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49E1C16">
          <v:shape id="_x0000_i1601" type="#_x0000_t75" style="width:20.2pt;height:17.5pt" o:ole="">
            <v:imagedata r:id="rId9" o:title=""/>
          </v:shape>
          <w:control r:id="rId17" w:name="DefaultOcxName6" w:shapeid="_x0000_i1601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b)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pA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 &gt;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pB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 =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pC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26366DE6" w14:textId="5DC0B752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40A81810">
          <v:shape id="_x0000_i1600" type="#_x0000_t75" style="width:20.2pt;height:17.5pt" o:ole="">
            <v:imagedata r:id="rId9" o:title=""/>
          </v:shape>
          <w:control r:id="rId18" w:name="DefaultOcxName7" w:shapeid="_x0000_i1600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c)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pA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 &gt;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pB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 &gt;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pC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1122C4C8" w14:textId="630DD115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BAFEDC4">
          <v:shape id="_x0000_i1599" type="#_x0000_t75" style="width:20.2pt;height:17.5pt" o:ole="">
            <v:imagedata r:id="rId9" o:title=""/>
          </v:shape>
          <w:control r:id="rId19" w:name="DefaultOcxName8" w:shapeid="_x0000_i1599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d)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pB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 &gt;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pA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 &gt;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pC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7DE3F748" w14:textId="7607C88A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77412468">
          <v:shape id="_x0000_i1598" type="#_x0000_t75" style="width:20.2pt;height:17.5pt" o:ole="">
            <v:imagedata r:id="rId9" o:title=""/>
          </v:shape>
          <w:control r:id="rId20" w:name="DefaultOcxName9" w:shapeid="_x0000_i1598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e)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pB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 &gt;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pC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 &gt;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pA.</w:t>
      </w:r>
      <w:proofErr w:type="spellEnd"/>
    </w:p>
    <w:p w14:paraId="2D928210" w14:textId="77777777" w:rsidR="00AB17CA" w:rsidRPr="00AB17CA" w:rsidRDefault="00AB17CA" w:rsidP="00AB17CA">
      <w:pPr>
        <w:shd w:val="clear" w:color="auto" w:fill="FFFFFF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t>3) Em um recipiente em formato de U foram colocadas determinadas quantidades de água e óleo. Após haver equilíbrio no sistema, as alturas das colunas de água e óleo a partir de um determinado referencial foram determinadas, sendo 100 mm para o óleo e 70 mm para a água. Sabendo que a densidade da água é 1000 kg/m</w:t>
      </w:r>
      <w:r w:rsidRPr="00AB17CA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perscript"/>
          <w:lang w:eastAsia="pt-BR"/>
        </w:rPr>
        <w:t>3</w:t>
      </w:r>
      <w:r w:rsidRPr="00AB17CA">
        <w:rPr>
          <w:rFonts w:ascii="Lato" w:eastAsia="Times New Roman" w:hAnsi="Lato" w:cs="Times New Roman"/>
          <w:color w:val="000000"/>
          <w:lang w:eastAsia="pt-BR"/>
        </w:rPr>
        <w:t>, determine a densidade do óleo em kg/m</w:t>
      </w:r>
      <w:r w:rsidRPr="00AB17CA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perscript"/>
          <w:lang w:eastAsia="pt-BR"/>
        </w:rPr>
        <w:t>3</w:t>
      </w:r>
      <w:r w:rsidRPr="00AB17CA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689471DB" w14:textId="48CB0F65" w:rsidR="00AB17CA" w:rsidRPr="00AB17CA" w:rsidRDefault="00AB17CA" w:rsidP="00AB17CA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noProof/>
          <w:color w:val="000000"/>
          <w:lang w:eastAsia="pt-BR"/>
        </w:rPr>
        <w:drawing>
          <wp:inline distT="0" distB="0" distL="0" distR="0" wp14:anchorId="191EB06E" wp14:editId="6FC08C16">
            <wp:extent cx="3615055" cy="2281555"/>
            <wp:effectExtent l="0" t="0" r="4445" b="4445"/>
            <wp:docPr id="29" name="Imagem 29" descr="https://azup.com.br/wp-content/uploads/agua-ol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https://azup.com.br/wp-content/uploads/agua-oleo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0DACB" w14:textId="742680DB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49632F2C">
          <v:shape id="_x0000_i1597" type="#_x0000_t75" style="width:20.2pt;height:17.5pt" o:ole="">
            <v:imagedata r:id="rId9" o:title=""/>
          </v:shape>
          <w:control r:id="rId22" w:name="DefaultOcxName10" w:shapeid="_x0000_i1597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>a) 500</w:t>
      </w:r>
    </w:p>
    <w:p w14:paraId="4A36575E" w14:textId="20005C7A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7D158233">
          <v:shape id="_x0000_i1596" type="#_x0000_t75" style="width:20.2pt;height:17.5pt" o:ole="">
            <v:imagedata r:id="rId9" o:title=""/>
          </v:shape>
          <w:control r:id="rId23" w:name="DefaultOcxName11" w:shapeid="_x0000_i1596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>b) 650</w:t>
      </w:r>
    </w:p>
    <w:p w14:paraId="21C27EC7" w14:textId="4629481C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3D30C8DA">
          <v:shape id="_x0000_i1595" type="#_x0000_t75" style="width:20.2pt;height:17.5pt" o:ole="">
            <v:imagedata r:id="rId9" o:title=""/>
          </v:shape>
          <w:control r:id="rId24" w:name="DefaultOcxName12" w:shapeid="_x0000_i1595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>c) 600</w:t>
      </w:r>
    </w:p>
    <w:p w14:paraId="3D8652AA" w14:textId="06D9508E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3962372">
          <v:shape id="_x0000_i1594" type="#_x0000_t75" style="width:20.2pt;height:17.5pt" o:ole="">
            <v:imagedata r:id="rId9" o:title=""/>
          </v:shape>
          <w:control r:id="rId25" w:name="DefaultOcxName13" w:shapeid="_x0000_i1594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>d) 700</w:t>
      </w:r>
    </w:p>
    <w:p w14:paraId="651E0A57" w14:textId="33EBC3AA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1DA9480">
          <v:shape id="_x0000_i1593" type="#_x0000_t75" style="width:20.2pt;height:17.5pt" o:ole="">
            <v:imagedata r:id="rId9" o:title=""/>
          </v:shape>
          <w:control r:id="rId26" w:name="DefaultOcxName14" w:shapeid="_x0000_i1593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>e) 800</w:t>
      </w:r>
    </w:p>
    <w:p w14:paraId="4C7F897D" w14:textId="77777777" w:rsidR="00AB17CA" w:rsidRPr="00AB17CA" w:rsidRDefault="00AB17CA" w:rsidP="00AB17CA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t>4) As seguintes afirmações são feitas a respeito de dois líquidos de densidades diferentes colocados juntos em um tubo em formato de U.</w:t>
      </w:r>
    </w:p>
    <w:p w14:paraId="53CA711A" w14:textId="77777777" w:rsidR="00AB17CA" w:rsidRPr="00AB17CA" w:rsidRDefault="00AB17CA" w:rsidP="00AB17CA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I) A determinação da densidade ou altura das colunas de líquido é feita a partir da lei de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Stevin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1861D37B" w14:textId="77777777" w:rsidR="00AB17CA" w:rsidRPr="00AB17CA" w:rsidRDefault="00AB17CA" w:rsidP="00AB17CA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t>II) A pressão atmosférica só fará diferença se pelo menos uma das extremidades do recipiente estiver fechada.</w:t>
      </w:r>
    </w:p>
    <w:p w14:paraId="7BFAD1C6" w14:textId="77777777" w:rsidR="00AB17CA" w:rsidRPr="00AB17CA" w:rsidRDefault="00AB17CA" w:rsidP="00AB17CA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t>III) A menor coluna de líquido sempre será daquele que possui menor densidade.</w:t>
      </w:r>
    </w:p>
    <w:p w14:paraId="604E8CB1" w14:textId="77777777" w:rsidR="00AB17CA" w:rsidRPr="00AB17CA" w:rsidRDefault="00AB17CA" w:rsidP="00AB17CA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t>IV) A pressão para pontos de mesma altura será a mesma.</w:t>
      </w:r>
    </w:p>
    <w:p w14:paraId="40785491" w14:textId="77777777" w:rsidR="00AB17CA" w:rsidRPr="00AB17CA" w:rsidRDefault="00AB17CA" w:rsidP="00AB17CA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t> </w:t>
      </w:r>
    </w:p>
    <w:p w14:paraId="63511897" w14:textId="77777777" w:rsidR="00AB17CA" w:rsidRPr="00AB17CA" w:rsidRDefault="00AB17CA" w:rsidP="00AB17CA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t>Marque a alternativa correta.</w:t>
      </w:r>
    </w:p>
    <w:p w14:paraId="3929317F" w14:textId="38196916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397F9BF0">
          <v:shape id="_x0000_i1592" type="#_x0000_t75" style="width:20.2pt;height:17.5pt" o:ole="">
            <v:imagedata r:id="rId9" o:title=""/>
          </v:shape>
          <w:control r:id="rId27" w:name="DefaultOcxName15" w:shapeid="_x0000_i1592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>a) As afirmações I, III e IV são verdadeiras.</w:t>
      </w:r>
    </w:p>
    <w:p w14:paraId="7C5CAA67" w14:textId="228514C9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6F8E0AD2">
          <v:shape id="_x0000_i1591" type="#_x0000_t75" style="width:20.2pt;height:17.5pt" o:ole="">
            <v:imagedata r:id="rId9" o:title=""/>
          </v:shape>
          <w:control r:id="rId28" w:name="DefaultOcxName16" w:shapeid="_x0000_i1591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>b) As afirmações II e III são falsas.</w:t>
      </w:r>
    </w:p>
    <w:p w14:paraId="0A022662" w14:textId="37EF71D5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374219D1">
          <v:shape id="_x0000_i1590" type="#_x0000_t75" style="width:20.2pt;height:17.5pt" o:ole="">
            <v:imagedata r:id="rId9" o:title=""/>
          </v:shape>
          <w:control r:id="rId29" w:name="DefaultOcxName17" w:shapeid="_x0000_i1590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>c) Todas as afirmações são verdadeiras.</w:t>
      </w:r>
    </w:p>
    <w:p w14:paraId="0F8745E9" w14:textId="2B9E56BE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7DE546C1">
          <v:shape id="_x0000_i1589" type="#_x0000_t75" style="width:20.2pt;height:17.5pt" o:ole="">
            <v:imagedata r:id="rId9" o:title=""/>
          </v:shape>
          <w:control r:id="rId30" w:name="DefaultOcxName18" w:shapeid="_x0000_i1589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>d) Somente I é verdadeira.</w:t>
      </w:r>
    </w:p>
    <w:p w14:paraId="5391B9FC" w14:textId="179AD63D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5FD86687">
          <v:shape id="_x0000_i1588" type="#_x0000_t75" style="width:20.2pt;height:17.5pt" o:ole="">
            <v:imagedata r:id="rId9" o:title=""/>
          </v:shape>
          <w:control r:id="rId31" w:name="DefaultOcxName19" w:shapeid="_x0000_i1588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>e) As afirmações I, II e IV são verdadeiras.</w:t>
      </w:r>
    </w:p>
    <w:p w14:paraId="1898D72F" w14:textId="77777777" w:rsidR="00AB17CA" w:rsidRPr="00AB17CA" w:rsidRDefault="00AB17CA" w:rsidP="00AB17CA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t>5) (UERJ-RJ) Algumas cafeteiras industriais possuem um tubo de vidro transparente para facilitar a verificação da quantidade de café no reservatório, como mostra a figura. Observe que os pontos A e B correspondem a aberturas na máquina.</w:t>
      </w:r>
    </w:p>
    <w:p w14:paraId="3A83E95C" w14:textId="2E0671FD" w:rsidR="00AB17CA" w:rsidRPr="00AB17CA" w:rsidRDefault="00AB17CA" w:rsidP="00AB17CA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noProof/>
          <w:color w:val="000000"/>
          <w:lang w:eastAsia="pt-BR"/>
        </w:rPr>
        <w:drawing>
          <wp:inline distT="0" distB="0" distL="0" distR="0" wp14:anchorId="0BE2322C" wp14:editId="18E89770">
            <wp:extent cx="1598295" cy="1205230"/>
            <wp:effectExtent l="0" t="0" r="1905" b="0"/>
            <wp:docPr id="28" name="Imagem 28" descr="https://azup.com.br/wp-content/uploads/i_c9e708afa9eb4b21_html_4e3154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https://azup.com.br/wp-content/uploads/i_c9e708afa9eb4b21_html_4e31542c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C4C9B" w14:textId="77777777" w:rsidR="00AB17CA" w:rsidRPr="00AB17CA" w:rsidRDefault="00AB17CA" w:rsidP="00AB17CA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t xml:space="preserve">(Adaptado de MÁXIMO, Antônio &amp; ALVARENGA, Beatriz. Curso de Física. São Paulo: </w:t>
      </w:r>
      <w:proofErr w:type="spellStart"/>
      <w:r w:rsidRPr="00AB17CA">
        <w:rPr>
          <w:rFonts w:ascii="Lato" w:eastAsia="Times New Roman" w:hAnsi="Lato" w:cs="Times New Roman"/>
          <w:color w:val="000000"/>
          <w:lang w:eastAsia="pt-BR"/>
        </w:rPr>
        <w:t>Harbra</w:t>
      </w:r>
      <w:proofErr w:type="spellEnd"/>
      <w:r w:rsidRPr="00AB17CA">
        <w:rPr>
          <w:rFonts w:ascii="Lato" w:eastAsia="Times New Roman" w:hAnsi="Lato" w:cs="Times New Roman"/>
          <w:color w:val="000000"/>
          <w:lang w:eastAsia="pt-BR"/>
        </w:rPr>
        <w:t>, 1992.)</w:t>
      </w:r>
    </w:p>
    <w:p w14:paraId="1433BC84" w14:textId="77777777" w:rsidR="00AB17CA" w:rsidRPr="00AB17CA" w:rsidRDefault="00AB17CA" w:rsidP="00AB17CA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t>Admita que a área da seção reta horizontal do reservatório seja 20 vezes maior do que a do tubo de vidro.</w:t>
      </w:r>
    </w:p>
    <w:p w14:paraId="1FD3BE24" w14:textId="77777777" w:rsidR="00AB17CA" w:rsidRPr="00AB17CA" w:rsidRDefault="00AB17CA" w:rsidP="00AB17CA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t>Quando a altura alcançada pelo café no tubo é x, a altura do café no interior do reservatório corresponde a:</w:t>
      </w:r>
    </w:p>
    <w:p w14:paraId="193228AC" w14:textId="72AAAD61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7FAB6F63">
          <v:shape id="_x0000_i1587" type="#_x0000_t75" style="width:20.2pt;height:17.5pt" o:ole="">
            <v:imagedata r:id="rId9" o:title=""/>
          </v:shape>
          <w:control r:id="rId33" w:name="DefaultOcxName20" w:shapeid="_x0000_i1587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>a) x</w:t>
      </w:r>
    </w:p>
    <w:p w14:paraId="344F0DCD" w14:textId="61B705A5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6EDD2C03">
          <v:shape id="_x0000_i1586" type="#_x0000_t75" style="width:20.2pt;height:17.5pt" o:ole="">
            <v:imagedata r:id="rId9" o:title=""/>
          </v:shape>
          <w:control r:id="rId34" w:name="DefaultOcxName21" w:shapeid="_x0000_i1586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>b) x/2</w:t>
      </w:r>
    </w:p>
    <w:p w14:paraId="57D1379B" w14:textId="51D7C5AA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35EE6374">
          <v:shape id="_x0000_i1585" type="#_x0000_t75" style="width:20.2pt;height:17.5pt" o:ole="">
            <v:imagedata r:id="rId9" o:title=""/>
          </v:shape>
          <w:control r:id="rId35" w:name="DefaultOcxName22" w:shapeid="_x0000_i1585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>c) x/10</w:t>
      </w:r>
    </w:p>
    <w:p w14:paraId="104F0FC0" w14:textId="3B0523FA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56A366E">
          <v:shape id="_x0000_i1584" type="#_x0000_t75" style="width:20.2pt;height:17.5pt" o:ole="">
            <v:imagedata r:id="rId9" o:title=""/>
          </v:shape>
          <w:control r:id="rId36" w:name="DefaultOcxName23" w:shapeid="_x0000_i1584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>d) x/20</w:t>
      </w:r>
    </w:p>
    <w:p w14:paraId="441BF571" w14:textId="2E1803FB" w:rsidR="00AB17CA" w:rsidRPr="00AB17CA" w:rsidRDefault="00AB17CA" w:rsidP="00AB17CA">
      <w:pPr>
        <w:numPr>
          <w:ilvl w:val="1"/>
          <w:numId w:val="15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B17CA">
        <w:rPr>
          <w:rFonts w:ascii="Lato" w:eastAsia="Times New Roman" w:hAnsi="Lato" w:cs="Times New Roman"/>
          <w:color w:val="000000"/>
          <w:lang w:eastAsia="pt-BR"/>
        </w:rPr>
        <w:object w:dxaOrig="225" w:dyaOrig="225" w14:anchorId="26B6D2E9">
          <v:shape id="_x0000_i1583" type="#_x0000_t75" style="width:20.2pt;height:17.5pt" o:ole="">
            <v:imagedata r:id="rId9" o:title=""/>
          </v:shape>
          <w:control r:id="rId37" w:name="DefaultOcxName24" w:shapeid="_x0000_i1583"/>
        </w:object>
      </w:r>
      <w:r w:rsidRPr="00AB17CA">
        <w:rPr>
          <w:rFonts w:ascii="Lato" w:eastAsia="Times New Roman" w:hAnsi="Lato" w:cs="Times New Roman"/>
          <w:color w:val="000000"/>
          <w:lang w:eastAsia="pt-BR"/>
        </w:rPr>
        <w:t>e) x/25</w:t>
      </w:r>
    </w:p>
    <w:p w14:paraId="46A0A33B" w14:textId="2C6A5CCA" w:rsidR="00FE1708" w:rsidRPr="00CD482E" w:rsidRDefault="00FE1708" w:rsidP="005C0F01">
      <w:r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49F3381F" w:rsidR="00EB4EEE" w:rsidRPr="00CE1840" w:rsidRDefault="00AB17CA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8" w:type="dxa"/>
          </w:tcPr>
          <w:p w14:paraId="6C379D11" w14:textId="12BCD3E2" w:rsidR="00EB4EEE" w:rsidRPr="00CE1840" w:rsidRDefault="00AB17CA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2C919288" w14:textId="711937AD" w:rsidR="00EB4EEE" w:rsidRPr="00CE1840" w:rsidRDefault="00AB17CA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67AF40E6" w14:textId="6F79D8FD" w:rsidR="00EB4EEE" w:rsidRPr="00CE1840" w:rsidRDefault="00AB17CA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8" w:type="dxa"/>
          </w:tcPr>
          <w:p w14:paraId="49599B0F" w14:textId="3086468A" w:rsidR="00EB4EEE" w:rsidRPr="00CE1840" w:rsidRDefault="00AB17CA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3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912A3" w14:textId="77777777" w:rsidR="001E30E8" w:rsidRDefault="001E30E8" w:rsidP="00EB593E">
      <w:r>
        <w:separator/>
      </w:r>
    </w:p>
  </w:endnote>
  <w:endnote w:type="continuationSeparator" w:id="0">
    <w:p w14:paraId="22BB4C11" w14:textId="77777777" w:rsidR="001E30E8" w:rsidRDefault="001E30E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1E30E8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2BF90" w14:textId="77777777" w:rsidR="001E30E8" w:rsidRDefault="001E30E8" w:rsidP="00EB593E">
      <w:r>
        <w:separator/>
      </w:r>
    </w:p>
  </w:footnote>
  <w:footnote w:type="continuationSeparator" w:id="0">
    <w:p w14:paraId="526BF753" w14:textId="77777777" w:rsidR="001E30E8" w:rsidRDefault="001E30E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51567"/>
    <w:multiLevelType w:val="multilevel"/>
    <w:tmpl w:val="850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5"/>
  </w:num>
  <w:num w:numId="5">
    <w:abstractNumId w:val="9"/>
  </w:num>
  <w:num w:numId="6">
    <w:abstractNumId w:val="13"/>
  </w:num>
  <w:num w:numId="7">
    <w:abstractNumId w:val="11"/>
  </w:num>
  <w:num w:numId="8">
    <w:abstractNumId w:val="7"/>
  </w:num>
  <w:num w:numId="9">
    <w:abstractNumId w:val="1"/>
  </w:num>
  <w:num w:numId="10">
    <w:abstractNumId w:val="3"/>
  </w:num>
  <w:num w:numId="11">
    <w:abstractNumId w:val="8"/>
  </w:num>
  <w:num w:numId="12">
    <w:abstractNumId w:val="0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351A9"/>
    <w:rsid w:val="000377F8"/>
    <w:rsid w:val="00050167"/>
    <w:rsid w:val="000541F8"/>
    <w:rsid w:val="00060123"/>
    <w:rsid w:val="000622C0"/>
    <w:rsid w:val="00080A51"/>
    <w:rsid w:val="000854F5"/>
    <w:rsid w:val="000A29B5"/>
    <w:rsid w:val="000B4817"/>
    <w:rsid w:val="000C4036"/>
    <w:rsid w:val="000D3C4F"/>
    <w:rsid w:val="000E65DC"/>
    <w:rsid w:val="000E7A4B"/>
    <w:rsid w:val="00117D28"/>
    <w:rsid w:val="00135B5A"/>
    <w:rsid w:val="0014328B"/>
    <w:rsid w:val="00151911"/>
    <w:rsid w:val="00160F80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53B2B"/>
    <w:rsid w:val="00261CD3"/>
    <w:rsid w:val="00267CD7"/>
    <w:rsid w:val="002740D8"/>
    <w:rsid w:val="00282777"/>
    <w:rsid w:val="00296F6A"/>
    <w:rsid w:val="002C2C00"/>
    <w:rsid w:val="002F29C6"/>
    <w:rsid w:val="00310140"/>
    <w:rsid w:val="00311C81"/>
    <w:rsid w:val="003232A0"/>
    <w:rsid w:val="003356C8"/>
    <w:rsid w:val="00343CD9"/>
    <w:rsid w:val="00363A2D"/>
    <w:rsid w:val="0038787E"/>
    <w:rsid w:val="003A070A"/>
    <w:rsid w:val="003C6B91"/>
    <w:rsid w:val="003D0ED3"/>
    <w:rsid w:val="004437E1"/>
    <w:rsid w:val="00490915"/>
    <w:rsid w:val="00492379"/>
    <w:rsid w:val="004B182E"/>
    <w:rsid w:val="004D04DA"/>
    <w:rsid w:val="00515641"/>
    <w:rsid w:val="00532117"/>
    <w:rsid w:val="005357ED"/>
    <w:rsid w:val="00577308"/>
    <w:rsid w:val="0059394D"/>
    <w:rsid w:val="005C0F01"/>
    <w:rsid w:val="005C2BA3"/>
    <w:rsid w:val="005C79BB"/>
    <w:rsid w:val="005F6D9B"/>
    <w:rsid w:val="005F6FB3"/>
    <w:rsid w:val="005F7336"/>
    <w:rsid w:val="006009E5"/>
    <w:rsid w:val="00620E7D"/>
    <w:rsid w:val="00650AC9"/>
    <w:rsid w:val="006D75F0"/>
    <w:rsid w:val="00707B28"/>
    <w:rsid w:val="00734A83"/>
    <w:rsid w:val="00737878"/>
    <w:rsid w:val="00745A2E"/>
    <w:rsid w:val="00767869"/>
    <w:rsid w:val="007864A8"/>
    <w:rsid w:val="007B66BA"/>
    <w:rsid w:val="007C37B2"/>
    <w:rsid w:val="007D7C7A"/>
    <w:rsid w:val="007F009A"/>
    <w:rsid w:val="00802C7B"/>
    <w:rsid w:val="00816BB2"/>
    <w:rsid w:val="008669C9"/>
    <w:rsid w:val="008B71E7"/>
    <w:rsid w:val="008D33E5"/>
    <w:rsid w:val="008F11A7"/>
    <w:rsid w:val="00962A46"/>
    <w:rsid w:val="00963840"/>
    <w:rsid w:val="00983981"/>
    <w:rsid w:val="00985C31"/>
    <w:rsid w:val="00993FDB"/>
    <w:rsid w:val="009A13F3"/>
    <w:rsid w:val="009A1C75"/>
    <w:rsid w:val="009A30BF"/>
    <w:rsid w:val="009B0528"/>
    <w:rsid w:val="009E02AA"/>
    <w:rsid w:val="009E1093"/>
    <w:rsid w:val="009E5E35"/>
    <w:rsid w:val="00A02A69"/>
    <w:rsid w:val="00A353CA"/>
    <w:rsid w:val="00A8068A"/>
    <w:rsid w:val="00AA3266"/>
    <w:rsid w:val="00AB17CA"/>
    <w:rsid w:val="00AC17B8"/>
    <w:rsid w:val="00AF1877"/>
    <w:rsid w:val="00AF48D2"/>
    <w:rsid w:val="00B0315D"/>
    <w:rsid w:val="00B0519A"/>
    <w:rsid w:val="00B14205"/>
    <w:rsid w:val="00B40012"/>
    <w:rsid w:val="00B42156"/>
    <w:rsid w:val="00B5569A"/>
    <w:rsid w:val="00B61BA9"/>
    <w:rsid w:val="00B64319"/>
    <w:rsid w:val="00B673BC"/>
    <w:rsid w:val="00B91B2E"/>
    <w:rsid w:val="00B9732E"/>
    <w:rsid w:val="00BB7443"/>
    <w:rsid w:val="00BE2827"/>
    <w:rsid w:val="00C42D30"/>
    <w:rsid w:val="00C51ADD"/>
    <w:rsid w:val="00CA00C5"/>
    <w:rsid w:val="00CA52B3"/>
    <w:rsid w:val="00CC6A1B"/>
    <w:rsid w:val="00CD482E"/>
    <w:rsid w:val="00CE0E07"/>
    <w:rsid w:val="00CF4DA3"/>
    <w:rsid w:val="00D203CE"/>
    <w:rsid w:val="00D43DDD"/>
    <w:rsid w:val="00D46FD0"/>
    <w:rsid w:val="00D55DB1"/>
    <w:rsid w:val="00D6748E"/>
    <w:rsid w:val="00D80380"/>
    <w:rsid w:val="00DB516A"/>
    <w:rsid w:val="00DC0E94"/>
    <w:rsid w:val="00DC2806"/>
    <w:rsid w:val="00E00B7E"/>
    <w:rsid w:val="00E11966"/>
    <w:rsid w:val="00E12865"/>
    <w:rsid w:val="00E3251B"/>
    <w:rsid w:val="00E340FF"/>
    <w:rsid w:val="00E52AEF"/>
    <w:rsid w:val="00E65D92"/>
    <w:rsid w:val="00E91D20"/>
    <w:rsid w:val="00EB4EEE"/>
    <w:rsid w:val="00EB593E"/>
    <w:rsid w:val="00EB5DCD"/>
    <w:rsid w:val="00EB77ED"/>
    <w:rsid w:val="00F06518"/>
    <w:rsid w:val="00F17CCC"/>
    <w:rsid w:val="00F20FA8"/>
    <w:rsid w:val="00F40D9C"/>
    <w:rsid w:val="00F509FF"/>
    <w:rsid w:val="00F727E4"/>
    <w:rsid w:val="00FA6A3B"/>
    <w:rsid w:val="00FB3C30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5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34" Type="http://schemas.openxmlformats.org/officeDocument/2006/relationships/control" Target="activeX/activeX22.xml"/><Relationship Id="rId7" Type="http://schemas.openxmlformats.org/officeDocument/2006/relationships/image" Target="media/image1.jpeg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control" Target="activeX/activeX21.xm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image" Target="media/image6.jpeg"/><Relationship Id="rId37" Type="http://schemas.openxmlformats.org/officeDocument/2006/relationships/control" Target="activeX/activeX25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2020-04-07T22:04:00Z</cp:lastPrinted>
  <dcterms:created xsi:type="dcterms:W3CDTF">2020-04-07T22:07:00Z</dcterms:created>
  <dcterms:modified xsi:type="dcterms:W3CDTF">2020-04-07T22:07:00Z</dcterms:modified>
</cp:coreProperties>
</file>